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27DA" w14:textId="77777777" w:rsidR="00B85490" w:rsidRDefault="00B85490" w:rsidP="003C1B9E">
      <w:pPr>
        <w:shd w:val="clear" w:color="auto" w:fill="FFFFFF"/>
        <w:spacing w:before="120" w:after="168" w:line="240" w:lineRule="auto"/>
        <w:jc w:val="center"/>
        <w:outlineLvl w:val="0"/>
        <w:rPr>
          <w:rFonts w:ascii="Calibri" w:hAnsi="Calibri" w:cs="Calibri"/>
          <w:b/>
          <w:bCs/>
          <w:color w:val="333333"/>
          <w:spacing w:val="-3"/>
          <w:sz w:val="20"/>
          <w:szCs w:val="20"/>
          <w:shd w:val="clear" w:color="auto" w:fill="FFFFFF"/>
        </w:rPr>
      </w:pPr>
    </w:p>
    <w:p w14:paraId="68B6A169" w14:textId="437BC2E8" w:rsidR="00560C92" w:rsidRPr="003C1B9E" w:rsidRDefault="00560C92" w:rsidP="003C1B9E">
      <w:pPr>
        <w:shd w:val="clear" w:color="auto" w:fill="FFFFFF"/>
        <w:spacing w:before="120" w:after="168" w:line="240" w:lineRule="auto"/>
        <w:jc w:val="center"/>
        <w:outlineLvl w:val="0"/>
        <w:rPr>
          <w:rFonts w:ascii="Calibri" w:hAnsi="Calibri" w:cs="Calibri"/>
          <w:b/>
          <w:bCs/>
          <w:color w:val="333333"/>
          <w:spacing w:val="-3"/>
          <w:sz w:val="20"/>
          <w:szCs w:val="20"/>
          <w:shd w:val="clear" w:color="auto" w:fill="FFFFFF"/>
        </w:rPr>
      </w:pPr>
      <w:r w:rsidRPr="003C1B9E">
        <w:rPr>
          <w:rFonts w:ascii="Calibri" w:hAnsi="Calibri" w:cs="Calibri"/>
          <w:b/>
          <w:bCs/>
          <w:color w:val="333333"/>
          <w:spacing w:val="-3"/>
          <w:sz w:val="20"/>
          <w:szCs w:val="20"/>
          <w:shd w:val="clear" w:color="auto" w:fill="FFFFFF"/>
        </w:rPr>
        <w:t>Formulario 572 – SIRADIG Trabajador correspondiente al Ejercicio Fiscal 2024</w:t>
      </w:r>
    </w:p>
    <w:p w14:paraId="664BF36D" w14:textId="364477FF" w:rsidR="003C1B9E" w:rsidRPr="003C1B9E" w:rsidRDefault="003C1B9E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</w:p>
    <w:p w14:paraId="08C7BE22" w14:textId="413DCB0F" w:rsidR="00560C92" w:rsidRPr="003C1B9E" w:rsidRDefault="003C1B9E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>AFIP incorporo la posibilidad de seleccionar el régimen al que pertenece el benef</w:t>
      </w:r>
      <w:r w:rsidR="00514EA7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iciario: </w:t>
      </w: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Régimen Cedular o Régimen General.  </w:t>
      </w:r>
    </w:p>
    <w:p w14:paraId="6C8C9596" w14:textId="1FDCF206" w:rsidR="003C1B9E" w:rsidRPr="003C1B9E" w:rsidRDefault="003C1B9E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En principio </w:t>
      </w:r>
      <w:r w:rsidR="002E7697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y de no poseer otro trabajo que se encuadre en el régimen general, </w:t>
      </w: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todos los trabajadores </w:t>
      </w:r>
      <w:r w:rsidR="002E7697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>de esta Facultad</w:t>
      </w:r>
      <w:r w:rsidR="00B43384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 </w:t>
      </w: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quedan incluidos en el régimen Cedular. </w:t>
      </w:r>
    </w:p>
    <w:p w14:paraId="659E8732" w14:textId="77777777" w:rsidR="003C1B9E" w:rsidRPr="003C1B9E" w:rsidRDefault="003C1B9E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</w:p>
    <w:p w14:paraId="078936A7" w14:textId="12425F1F" w:rsidR="003C1B9E" w:rsidRDefault="003C1B9E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b/>
          <w:bCs/>
          <w:color w:val="333333"/>
          <w:spacing w:val="-3"/>
          <w:sz w:val="20"/>
          <w:szCs w:val="20"/>
          <w:u w:val="single"/>
          <w:shd w:val="clear" w:color="auto" w:fill="FFFFFF"/>
        </w:rPr>
        <w:t>Régimen Cedular (Ley 27.725 – Vigente desde 01/01/2024):</w:t>
      </w:r>
      <w:r w:rsidRPr="003C1B9E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 Tributaran el impuesto aquellos </w:t>
      </w:r>
      <w:r w:rsidR="00514EA7"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>empleados en relación de dependencia, jubilados, retirados o pensionados que superen el Mínimo No Imponible de 15 salarios Mínimo Vital y Móvil (actualmente $2.340.000). Sin la posibilidad de deducir las cargas de familia ni deducciones, solo podrán informar:</w:t>
      </w:r>
    </w:p>
    <w:p w14:paraId="42BFD72C" w14:textId="312E842F" w:rsidR="00514EA7" w:rsidRPr="00514EA7" w:rsidRDefault="00514EA7" w:rsidP="00514EA7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514EA7">
        <w:rPr>
          <w:rFonts w:ascii="Calibri" w:hAnsi="Calibri" w:cs="Calibri"/>
          <w:sz w:val="20"/>
          <w:szCs w:val="20"/>
          <w:shd w:val="clear" w:color="auto" w:fill="FFFFFF"/>
        </w:rPr>
        <w:t>*Gastos relacionados con los pagos al personal de casas particulares</w:t>
      </w:r>
      <w:r w:rsidR="00785723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275AEF5E" w14:textId="49766ED8" w:rsidR="00514EA7" w:rsidRPr="00514EA7" w:rsidRDefault="00514EA7" w:rsidP="00514EA7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514EA7">
        <w:rPr>
          <w:rFonts w:ascii="Calibri" w:hAnsi="Calibri" w:cs="Calibri"/>
          <w:sz w:val="20"/>
          <w:szCs w:val="20"/>
          <w:shd w:val="clear" w:color="auto" w:fill="FFFFFF"/>
        </w:rPr>
        <w:t xml:space="preserve">*Aportes a Sociedades de Garantía </w:t>
      </w:r>
      <w:r w:rsidR="00785723" w:rsidRPr="00514EA7">
        <w:rPr>
          <w:rFonts w:ascii="Calibri" w:hAnsi="Calibri" w:cs="Calibri"/>
          <w:sz w:val="20"/>
          <w:szCs w:val="20"/>
          <w:shd w:val="clear" w:color="auto" w:fill="FFFFFF"/>
        </w:rPr>
        <w:t>Recíproca</w:t>
      </w:r>
      <w:r w:rsidR="00785723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100883D4" w14:textId="42E0F49E" w:rsidR="00514EA7" w:rsidRPr="00514EA7" w:rsidRDefault="00514EA7" w:rsidP="00514EA7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514EA7">
        <w:rPr>
          <w:rFonts w:ascii="Calibri" w:hAnsi="Calibri" w:cs="Calibri"/>
          <w:sz w:val="20"/>
          <w:szCs w:val="20"/>
          <w:shd w:val="clear" w:color="auto" w:fill="FFFFFF"/>
        </w:rPr>
        <w:t>*Retenciones, percepciones y pagos a cuenta</w:t>
      </w:r>
      <w:r w:rsidR="00785723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4DB833E6" w14:textId="5351A889" w:rsidR="00514EA7" w:rsidRPr="00514EA7" w:rsidRDefault="00514EA7" w:rsidP="00514EA7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514EA7">
        <w:rPr>
          <w:rFonts w:ascii="Calibri" w:hAnsi="Calibri" w:cs="Calibri"/>
          <w:sz w:val="20"/>
          <w:szCs w:val="20"/>
          <w:shd w:val="clear" w:color="auto" w:fill="FFFFFF"/>
        </w:rPr>
        <w:t>*22% de incremento del Mínimo No Imponible por zona Patagonia.</w:t>
      </w:r>
    </w:p>
    <w:p w14:paraId="392AB98C" w14:textId="7A2ABE68" w:rsidR="00514EA7" w:rsidRDefault="00514EA7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</w:p>
    <w:p w14:paraId="11A83FAD" w14:textId="05A9530D" w:rsidR="00514EA7" w:rsidRDefault="00514EA7" w:rsidP="00560C92">
      <w:pPr>
        <w:shd w:val="clear" w:color="auto" w:fill="FFFFFF"/>
        <w:spacing w:before="120" w:after="168" w:line="240" w:lineRule="auto"/>
        <w:outlineLvl w:val="0"/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b/>
          <w:bCs/>
          <w:color w:val="333333"/>
          <w:spacing w:val="-3"/>
          <w:sz w:val="20"/>
          <w:szCs w:val="20"/>
          <w:u w:val="single"/>
          <w:shd w:val="clear" w:color="auto" w:fill="FFFFFF"/>
        </w:rPr>
        <w:t>Régimen General:</w:t>
      </w:r>
      <w:r>
        <w:rPr>
          <w:rFonts w:ascii="Calibri" w:hAnsi="Calibri" w:cs="Calibri"/>
          <w:color w:val="333333"/>
          <w:spacing w:val="-3"/>
          <w:sz w:val="20"/>
          <w:szCs w:val="20"/>
          <w:shd w:val="clear" w:color="auto" w:fill="FFFFFF"/>
        </w:rPr>
        <w:t xml:space="preserve"> Quedan comprendidos en este régimen </w:t>
      </w:r>
    </w:p>
    <w:p w14:paraId="2FA833D0" w14:textId="59ACA7A0" w:rsidR="00514EA7" w:rsidRPr="00785723" w:rsidRDefault="00514EA7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sz w:val="20"/>
          <w:szCs w:val="20"/>
          <w:shd w:val="clear" w:color="auto" w:fill="FFFFFF"/>
        </w:rPr>
        <w:t>*Los Magistrados, funcionarios y empleados del Poder Judicial nombrados a partir de 2017</w:t>
      </w:r>
    </w:p>
    <w:p w14:paraId="2DFAB456" w14:textId="10AB434C" w:rsidR="00514EA7" w:rsidRPr="00785723" w:rsidRDefault="00514EA7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sz w:val="20"/>
          <w:szCs w:val="20"/>
          <w:shd w:val="clear" w:color="auto" w:fill="FFFFFF"/>
        </w:rPr>
        <w:t xml:space="preserve">*Quienes </w:t>
      </w:r>
      <w:r w:rsidR="00785723" w:rsidRPr="00785723">
        <w:rPr>
          <w:rFonts w:ascii="Calibri" w:hAnsi="Calibri" w:cs="Calibri"/>
          <w:sz w:val="20"/>
          <w:szCs w:val="20"/>
          <w:shd w:val="clear" w:color="auto" w:fill="FFFFFF"/>
        </w:rPr>
        <w:t>desempeñen</w:t>
      </w:r>
      <w:r w:rsidRPr="00785723">
        <w:rPr>
          <w:rFonts w:ascii="Calibri" w:hAnsi="Calibri" w:cs="Calibri"/>
          <w:sz w:val="20"/>
          <w:szCs w:val="20"/>
          <w:shd w:val="clear" w:color="auto" w:fill="FFFFFF"/>
        </w:rPr>
        <w:t xml:space="preserve"> como secretarios de Estado en adelante y sus equivalentes, diputados y senadores.</w:t>
      </w:r>
    </w:p>
    <w:p w14:paraId="1C0F35D9" w14:textId="7C160B52" w:rsidR="00514EA7" w:rsidRDefault="00514EA7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sz w:val="20"/>
          <w:szCs w:val="20"/>
          <w:shd w:val="clear" w:color="auto" w:fill="FFFFFF"/>
        </w:rPr>
        <w:t xml:space="preserve">* Quienes perciban remuneraciones provenientes de consejeros de las sociedades cooperativas y las asignaciones </w:t>
      </w:r>
      <w:r w:rsidR="00785723">
        <w:rPr>
          <w:rFonts w:ascii="Calibri" w:hAnsi="Calibri" w:cs="Calibri"/>
          <w:sz w:val="20"/>
          <w:szCs w:val="20"/>
          <w:shd w:val="clear" w:color="auto" w:fill="FFFFFF"/>
        </w:rPr>
        <w:t>mensuales y vitalicias reconocidas a presidentes y vicepresidentes de la Nación.</w:t>
      </w:r>
    </w:p>
    <w:p w14:paraId="099314FD" w14:textId="4CAA3CE8" w:rsidR="00785723" w:rsidRDefault="00785723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* Quienes perciban sueldos por cargos de directores, </w:t>
      </w:r>
      <w:proofErr w:type="spellStart"/>
      <w:r>
        <w:rPr>
          <w:rFonts w:ascii="Calibri" w:hAnsi="Calibri" w:cs="Calibri"/>
          <w:sz w:val="20"/>
          <w:szCs w:val="20"/>
          <w:shd w:val="clear" w:color="auto" w:fill="FFFFFF"/>
        </w:rPr>
        <w:t>sindicos</w:t>
      </w:r>
      <w:proofErr w:type="spellEnd"/>
      <w:r>
        <w:rPr>
          <w:rFonts w:ascii="Calibri" w:hAnsi="Calibri" w:cs="Calibri"/>
          <w:sz w:val="20"/>
          <w:szCs w:val="20"/>
          <w:shd w:val="clear" w:color="auto" w:fill="FFFFFF"/>
        </w:rPr>
        <w:t xml:space="preserve"> y miembros de consejos de vigilancia de sociedades anónimas y cargos equivalentes en otras sociedades, asociaciones, fundaciones y cooperativas.</w:t>
      </w:r>
    </w:p>
    <w:p w14:paraId="30795387" w14:textId="39DA615D" w:rsidR="00785723" w:rsidRDefault="00785723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3C8CBF42" w14:textId="56FC99B8" w:rsidR="00560C92" w:rsidRPr="00785723" w:rsidRDefault="00785723" w:rsidP="00785723">
      <w:pPr>
        <w:pStyle w:val="Sinespaciado"/>
        <w:rPr>
          <w:rFonts w:ascii="Calibri" w:hAnsi="Calibri" w:cs="Calibri"/>
          <w:sz w:val="20"/>
          <w:szCs w:val="20"/>
          <w:shd w:val="clear" w:color="auto" w:fill="FFFFFF"/>
        </w:rPr>
      </w:pPr>
      <w:r w:rsidRPr="00785723">
        <w:rPr>
          <w:rFonts w:ascii="Calibri" w:hAnsi="Calibri" w:cs="Calibri"/>
          <w:sz w:val="20"/>
          <w:szCs w:val="20"/>
          <w:shd w:val="clear" w:color="auto" w:fill="FFFFFF"/>
        </w:rPr>
        <w:t xml:space="preserve">Aclaración </w:t>
      </w:r>
      <w:r w:rsidR="00560C92" w:rsidRPr="00785723">
        <w:rPr>
          <w:rFonts w:ascii="Calibri" w:hAnsi="Calibri" w:cs="Calibri"/>
          <w:sz w:val="20"/>
          <w:szCs w:val="20"/>
          <w:shd w:val="clear" w:color="auto" w:fill="FFFFFF"/>
        </w:rPr>
        <w:t>Pluriempleo: En casos de pluriempleo, el agente de retención será aquel que abone el mayor importe entre los sujetos correspondientes al mismo régimen (Cedular o General). Si se perciben rentas de distintos sujetos en ambos regímenes, actuará como agente de retención el que abone las rentas del Régimen General.</w:t>
      </w:r>
    </w:p>
    <w:p w14:paraId="290D9DBC" w14:textId="080B3127" w:rsidR="008A721E" w:rsidRDefault="008A721E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</w:p>
    <w:p w14:paraId="4DAE6A18" w14:textId="53361805" w:rsidR="00785723" w:rsidRPr="00785723" w:rsidRDefault="00785723" w:rsidP="00785723">
      <w:pPr>
        <w:rPr>
          <w:rFonts w:ascii="Calibri" w:eastAsia="Times New Roman" w:hAnsi="Calibri" w:cs="Calibri"/>
          <w:b/>
          <w:bCs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 w:rsidRPr="00785723">
        <w:rPr>
          <w:rFonts w:ascii="Calibri" w:eastAsia="Times New Roman" w:hAnsi="Calibri" w:cs="Calibri"/>
          <w:b/>
          <w:bCs/>
          <w:color w:val="333333"/>
          <w:spacing w:val="-3"/>
          <w:kern w:val="36"/>
          <w:sz w:val="20"/>
          <w:szCs w:val="20"/>
          <w:lang w:eastAsia="es-AR"/>
          <w14:ligatures w14:val="none"/>
        </w:rPr>
        <w:t>Como confeccionar el formulario 572:</w:t>
      </w:r>
    </w:p>
    <w:p w14:paraId="304979D2" w14:textId="67C99989" w:rsidR="009F0D17" w:rsidRDefault="009F0D17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  <w:t xml:space="preserve">Se deberá seleccionar el régimen teniendo en cuenta lo mencionado anteriormente en el presente informativo dependiendo en que régimen se encuentre encuadrado el beneficiario. (Régimen cedular – Mayores Ingresos o Régimen General) </w:t>
      </w:r>
    </w:p>
    <w:p w14:paraId="7B6E24E7" w14:textId="58322F7A" w:rsidR="009F0D17" w:rsidRDefault="009F0D17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>
        <w:rPr>
          <w:rFonts w:ascii="Calibri" w:eastAsia="Times New Roman" w:hAnsi="Calibri" w:cs="Calibri"/>
          <w:noProof/>
          <w:color w:val="333333"/>
          <w:spacing w:val="-3"/>
          <w:kern w:val="36"/>
          <w:sz w:val="20"/>
          <w:szCs w:val="20"/>
          <w:lang w:eastAsia="es-AR"/>
          <w14:ligatures w14:val="none"/>
        </w:rPr>
        <w:lastRenderedPageBreak/>
        <w:drawing>
          <wp:inline distT="0" distB="0" distL="0" distR="0" wp14:anchorId="6BD4DBCE" wp14:editId="7AE25C7D">
            <wp:extent cx="4343400" cy="3223260"/>
            <wp:effectExtent l="0" t="0" r="0" b="0"/>
            <wp:docPr id="19951050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595F" w14:textId="4B9071E1" w:rsidR="009F0D17" w:rsidRDefault="00785723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  <w:t xml:space="preserve"> </w:t>
      </w:r>
    </w:p>
    <w:p w14:paraId="34B5654B" w14:textId="4DE7C65B" w:rsidR="009F0D17" w:rsidRDefault="009F0D17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 w:rsidRPr="009F0D17"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u w:val="single"/>
          <w:lang w:eastAsia="es-AR"/>
          <w14:ligatures w14:val="none"/>
        </w:rPr>
        <w:t>REGIMEN CEDULAR – Mayores Ingresos:</w:t>
      </w:r>
      <w: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  <w:t xml:space="preserve"> Si selecciona esta opción no tendrá habilitado </w:t>
      </w:r>
      <w:r w:rsidR="002A0575"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  <w:t>para deducir ni las cargas de familia ni las deducciones y desgravaciones marcadas en gris ya que solo podrán deducirse para este régimen las deducciones del personal domestico y los aportes a sociedades de garantía recíproca.</w:t>
      </w:r>
    </w:p>
    <w:p w14:paraId="3E392123" w14:textId="47716A4C" w:rsidR="009F0D17" w:rsidRDefault="009F0D17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</w:p>
    <w:p w14:paraId="457471AA" w14:textId="5E91DDED" w:rsidR="009F0D17" w:rsidRDefault="009F0D17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>
        <w:rPr>
          <w:rFonts w:ascii="Calibri" w:eastAsia="Times New Roman" w:hAnsi="Calibri" w:cs="Calibri"/>
          <w:noProof/>
          <w:color w:val="333333"/>
          <w:spacing w:val="-3"/>
          <w:kern w:val="36"/>
          <w:sz w:val="20"/>
          <w:szCs w:val="20"/>
          <w:lang w:eastAsia="es-AR"/>
          <w14:ligatures w14:val="none"/>
        </w:rPr>
        <w:drawing>
          <wp:inline distT="0" distB="0" distL="0" distR="0" wp14:anchorId="76598019" wp14:editId="7D5FB56F">
            <wp:extent cx="4375017" cy="1242060"/>
            <wp:effectExtent l="0" t="0" r="6985" b="0"/>
            <wp:docPr id="23392892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649" cy="1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9601" w14:textId="3CA35720" w:rsidR="002A0575" w:rsidRDefault="002A0575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</w:p>
    <w:p w14:paraId="500651F4" w14:textId="79F227CB" w:rsidR="002A0575" w:rsidRDefault="002A0575">
      <w:pP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</w:pPr>
      <w:r>
        <w:rPr>
          <w:rFonts w:ascii="Calibri" w:eastAsia="Times New Roman" w:hAnsi="Calibri" w:cs="Calibri"/>
          <w:noProof/>
          <w:color w:val="333333"/>
          <w:spacing w:val="-3"/>
          <w:kern w:val="36"/>
          <w:sz w:val="20"/>
          <w:szCs w:val="20"/>
          <w:lang w:eastAsia="es-AR"/>
          <w14:ligatures w14:val="none"/>
        </w:rPr>
        <w:drawing>
          <wp:anchor distT="0" distB="0" distL="114300" distR="114300" simplePos="0" relativeHeight="251658240" behindDoc="0" locked="0" layoutInCell="1" allowOverlap="1" wp14:anchorId="5FACCC9A" wp14:editId="37A7F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95800" cy="2089150"/>
            <wp:effectExtent l="0" t="0" r="0" b="6350"/>
            <wp:wrapNone/>
            <wp:docPr id="5637573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E853B" w14:textId="4BFD1C6B" w:rsidR="00785723" w:rsidRPr="003C1B9E" w:rsidRDefault="00785723">
      <w:pPr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333333"/>
          <w:spacing w:val="-3"/>
          <w:kern w:val="36"/>
          <w:sz w:val="20"/>
          <w:szCs w:val="20"/>
          <w:lang w:eastAsia="es-AR"/>
          <w14:ligatures w14:val="none"/>
        </w:rPr>
        <w:tab/>
      </w:r>
    </w:p>
    <w:p w14:paraId="4B983F12" w14:textId="75E7435B" w:rsidR="00560C92" w:rsidRDefault="009F0D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REGIMEN GENERAL: Se selecciona la opción </w:t>
      </w:r>
    </w:p>
    <w:p w14:paraId="303519CD" w14:textId="5C97428C" w:rsidR="009F0D17" w:rsidRDefault="009F0D17">
      <w:pPr>
        <w:rPr>
          <w:rFonts w:ascii="Calibri" w:hAnsi="Calibri" w:cs="Calibri"/>
          <w:sz w:val="20"/>
          <w:szCs w:val="20"/>
        </w:rPr>
      </w:pPr>
    </w:p>
    <w:p w14:paraId="22BEFC44" w14:textId="69676C3C" w:rsidR="009F0D17" w:rsidRDefault="009F0D17">
      <w:pPr>
        <w:rPr>
          <w:rFonts w:ascii="Calibri" w:hAnsi="Calibri" w:cs="Calibri"/>
          <w:sz w:val="20"/>
          <w:szCs w:val="20"/>
        </w:rPr>
      </w:pPr>
    </w:p>
    <w:p w14:paraId="0F3C498E" w14:textId="77777777" w:rsidR="002A0575" w:rsidRDefault="002A0575" w:rsidP="002A0575">
      <w:pPr>
        <w:rPr>
          <w:rFonts w:ascii="Calibri" w:hAnsi="Calibri" w:cs="Calibri"/>
          <w:sz w:val="20"/>
          <w:szCs w:val="20"/>
        </w:rPr>
      </w:pPr>
    </w:p>
    <w:p w14:paraId="70D83800" w14:textId="77777777" w:rsidR="002A0575" w:rsidRDefault="002A0575" w:rsidP="002A0575">
      <w:pPr>
        <w:jc w:val="right"/>
        <w:rPr>
          <w:rFonts w:ascii="Calibri" w:hAnsi="Calibri" w:cs="Calibri"/>
          <w:sz w:val="20"/>
          <w:szCs w:val="20"/>
        </w:rPr>
      </w:pPr>
    </w:p>
    <w:p w14:paraId="595D6A47" w14:textId="77777777" w:rsidR="0080241D" w:rsidRDefault="0080241D" w:rsidP="0080241D">
      <w:pPr>
        <w:rPr>
          <w:rFonts w:ascii="Calibri" w:hAnsi="Calibri" w:cs="Calibri"/>
          <w:sz w:val="20"/>
          <w:szCs w:val="20"/>
        </w:rPr>
      </w:pPr>
    </w:p>
    <w:p w14:paraId="296AF4C8" w14:textId="094FAB7F" w:rsidR="0080241D" w:rsidRDefault="00F171E7" w:rsidP="0080241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Para más información puede ingresar al ABC -Consultas frecuentes de AFIP en el siguiente </w:t>
      </w:r>
      <w:proofErr w:type="gramStart"/>
      <w:r>
        <w:rPr>
          <w:rFonts w:ascii="Calibri" w:hAnsi="Calibri" w:cs="Calibri"/>
          <w:sz w:val="20"/>
          <w:szCs w:val="20"/>
        </w:rPr>
        <w:t>link</w:t>
      </w:r>
      <w:proofErr w:type="gramEnd"/>
      <w:r>
        <w:rPr>
          <w:rFonts w:ascii="Calibri" w:hAnsi="Calibri" w:cs="Calibri"/>
          <w:sz w:val="20"/>
          <w:szCs w:val="20"/>
        </w:rPr>
        <w:t>:</w:t>
      </w:r>
    </w:p>
    <w:p w14:paraId="5C3CB4B4" w14:textId="6CC848F2" w:rsidR="0080241D" w:rsidRPr="0080241D" w:rsidRDefault="0080241D" w:rsidP="0080241D">
      <w:pPr>
        <w:rPr>
          <w:rFonts w:ascii="Calibri" w:hAnsi="Calibri" w:cs="Calibri"/>
          <w:sz w:val="20"/>
          <w:szCs w:val="20"/>
        </w:rPr>
      </w:pPr>
      <w:r w:rsidRPr="0080241D">
        <w:rPr>
          <w:rFonts w:ascii="Calibri" w:hAnsi="Calibri" w:cs="Calibri"/>
          <w:sz w:val="20"/>
          <w:szCs w:val="20"/>
        </w:rPr>
        <w:lastRenderedPageBreak/>
        <w:t>https://servicioscf.afip.gob.ar/publico/abc/ABCpaso2.aspx?id_nivel1=563&amp;id_nivel2=567&amp;id_nivel3=659&amp;id_nivel4=2571&amp;id_nivel5=3247&amp;p=Impuesto%20cedular%20(Cap.%20III%20-%20t%C3%ADtulo%20IV)</w:t>
      </w:r>
    </w:p>
    <w:sectPr w:rsidR="0080241D" w:rsidRPr="00802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6253"/>
    <w:multiLevelType w:val="multilevel"/>
    <w:tmpl w:val="CD7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80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92"/>
    <w:rsid w:val="002A0575"/>
    <w:rsid w:val="002E7697"/>
    <w:rsid w:val="003C1B9E"/>
    <w:rsid w:val="00514EA7"/>
    <w:rsid w:val="00560C92"/>
    <w:rsid w:val="00785723"/>
    <w:rsid w:val="0080241D"/>
    <w:rsid w:val="008A721E"/>
    <w:rsid w:val="009F0D17"/>
    <w:rsid w:val="00B43384"/>
    <w:rsid w:val="00B85490"/>
    <w:rsid w:val="00E64EDE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FABE"/>
  <w15:chartTrackingRefBased/>
  <w15:docId w15:val="{41DB0D26-6601-476A-A6AC-CB76157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0C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C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60C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0C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60C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0C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0C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0C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C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C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0C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C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0C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0C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0C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0C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60C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0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0C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60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60C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60C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60C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60C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0C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60C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60C92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560C92"/>
    <w:rPr>
      <w:b/>
      <w:bCs/>
    </w:rPr>
  </w:style>
  <w:style w:type="paragraph" w:styleId="Sinespaciado">
    <w:name w:val="No Spacing"/>
    <w:uiPriority w:val="1"/>
    <w:qFormat/>
    <w:rsid w:val="00514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Bassedas</dc:creator>
  <cp:keywords/>
  <dc:description/>
  <cp:lastModifiedBy>Leandro Caradore</cp:lastModifiedBy>
  <cp:revision>6</cp:revision>
  <cp:lastPrinted>2024-03-11T13:47:00Z</cp:lastPrinted>
  <dcterms:created xsi:type="dcterms:W3CDTF">2024-03-06T22:11:00Z</dcterms:created>
  <dcterms:modified xsi:type="dcterms:W3CDTF">2024-03-11T17:42:00Z</dcterms:modified>
</cp:coreProperties>
</file>